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4" w:rsidRPr="00106570" w:rsidRDefault="003C1AA4">
      <w:pPr>
        <w:rPr>
          <w:sz w:val="22"/>
          <w:szCs w:val="22"/>
        </w:rPr>
      </w:pPr>
      <w:r w:rsidRPr="00EB30B3">
        <w:rPr>
          <w:b/>
          <w:sz w:val="22"/>
          <w:szCs w:val="22"/>
        </w:rPr>
        <w:t>Massey Centre (“the Centre”)</w:t>
      </w:r>
      <w:r w:rsidRPr="00946E73">
        <w:rPr>
          <w:sz w:val="22"/>
          <w:szCs w:val="22"/>
        </w:rPr>
        <w:t xml:space="preserve"> is an award-winning, accredited Children’s Mental Health Centre that is a multi-service, non-profit, unionized, community agency located in the east end of Toronto. </w:t>
      </w:r>
      <w:r w:rsidR="00ED5152">
        <w:rPr>
          <w:sz w:val="22"/>
          <w:szCs w:val="22"/>
        </w:rPr>
        <w:t xml:space="preserve"> </w:t>
      </w:r>
      <w:r w:rsidRPr="00946E73">
        <w:rPr>
          <w:sz w:val="22"/>
          <w:szCs w:val="22"/>
        </w:rPr>
        <w:t xml:space="preserve">The Centre is committed to nurturing empowerment, independence and growth for young pregnant </w:t>
      </w:r>
      <w:r w:rsidR="00ED5152">
        <w:rPr>
          <w:sz w:val="22"/>
          <w:szCs w:val="22"/>
        </w:rPr>
        <w:t xml:space="preserve">and parenting </w:t>
      </w:r>
      <w:r w:rsidRPr="00946E73">
        <w:rPr>
          <w:sz w:val="22"/>
          <w:szCs w:val="22"/>
        </w:rPr>
        <w:t xml:space="preserve">women, children and families in a non-judgmental, inclusive environment by providing a residential care and treatment program; supportive transitional housing; on-site high school program, community housing support and </w:t>
      </w:r>
      <w:r w:rsidR="00ED5152">
        <w:rPr>
          <w:sz w:val="22"/>
          <w:szCs w:val="22"/>
        </w:rPr>
        <w:t>referral</w:t>
      </w:r>
      <w:r w:rsidRPr="00946E73">
        <w:rPr>
          <w:sz w:val="22"/>
          <w:szCs w:val="22"/>
        </w:rPr>
        <w:t xml:space="preserve"> services; and maternal infant mental health programs and services. We do this by working collaboratively as a multi-disciplinary team with community partners to provide holistic programs and support that respond to mental health, education and transitional needs. </w:t>
      </w:r>
      <w:r w:rsidR="005D52A9" w:rsidRPr="005D52A9">
        <w:rPr>
          <w:sz w:val="22"/>
          <w:szCs w:val="22"/>
        </w:rPr>
        <w:t xml:space="preserve">The Centre also operates an </w:t>
      </w:r>
      <w:proofErr w:type="spellStart"/>
      <w:r w:rsidR="005D52A9" w:rsidRPr="005D52A9">
        <w:rPr>
          <w:sz w:val="22"/>
          <w:szCs w:val="22"/>
        </w:rPr>
        <w:t>EarlyON</w:t>
      </w:r>
      <w:proofErr w:type="spellEnd"/>
      <w:r w:rsidR="005D52A9" w:rsidRPr="005D52A9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946E73" w:rsidRPr="00106570" w:rsidRDefault="00946E73">
      <w:pPr>
        <w:rPr>
          <w:sz w:val="23"/>
          <w:szCs w:val="23"/>
        </w:rPr>
      </w:pPr>
    </w:p>
    <w:p w:rsidR="00EB30B3" w:rsidRDefault="00A0766F" w:rsidP="0087093D">
      <w:pPr>
        <w:rPr>
          <w:sz w:val="22"/>
          <w:szCs w:val="22"/>
        </w:rPr>
      </w:pPr>
      <w:r w:rsidRPr="00106570">
        <w:rPr>
          <w:sz w:val="22"/>
          <w:szCs w:val="22"/>
        </w:rPr>
        <w:t xml:space="preserve">Massey Centre </w:t>
      </w:r>
      <w:r w:rsidR="00836416" w:rsidRPr="00106570">
        <w:rPr>
          <w:sz w:val="22"/>
          <w:szCs w:val="22"/>
        </w:rPr>
        <w:t xml:space="preserve">has </w:t>
      </w:r>
      <w:r w:rsidR="005D52A9">
        <w:rPr>
          <w:sz w:val="22"/>
          <w:szCs w:val="22"/>
        </w:rPr>
        <w:t>two</w:t>
      </w:r>
      <w:r w:rsidR="00836416" w:rsidRPr="00106570">
        <w:rPr>
          <w:sz w:val="22"/>
          <w:szCs w:val="22"/>
        </w:rPr>
        <w:t xml:space="preserve"> full time </w:t>
      </w:r>
      <w:r w:rsidR="0035218C">
        <w:rPr>
          <w:sz w:val="22"/>
          <w:szCs w:val="22"/>
        </w:rPr>
        <w:t>Residential Counsellor, Night,</w:t>
      </w:r>
      <w:r w:rsidR="0087093D" w:rsidRPr="00106570">
        <w:rPr>
          <w:sz w:val="22"/>
          <w:szCs w:val="22"/>
        </w:rPr>
        <w:t xml:space="preserve"> </w:t>
      </w:r>
      <w:r w:rsidR="00CA5881">
        <w:rPr>
          <w:sz w:val="22"/>
          <w:szCs w:val="22"/>
        </w:rPr>
        <w:t>opening</w:t>
      </w:r>
      <w:r w:rsidR="005D52A9">
        <w:rPr>
          <w:sz w:val="22"/>
          <w:szCs w:val="22"/>
        </w:rPr>
        <w:t>s</w:t>
      </w:r>
      <w:r w:rsidR="00836416" w:rsidRPr="00106570">
        <w:rPr>
          <w:sz w:val="22"/>
          <w:szCs w:val="22"/>
        </w:rPr>
        <w:t xml:space="preserve"> in the Residential and Transitional Housing Program to </w:t>
      </w:r>
      <w:r w:rsidR="0035218C" w:rsidRPr="0035218C">
        <w:rPr>
          <w:sz w:val="22"/>
          <w:szCs w:val="22"/>
        </w:rPr>
        <w:t>provide client supervision to residents in the Residential and Transitional Housing Programs, with specific attention to life-skills training and preparation for independent living</w:t>
      </w:r>
      <w:r w:rsidR="00EB30B3">
        <w:rPr>
          <w:sz w:val="22"/>
          <w:szCs w:val="22"/>
        </w:rPr>
        <w:t>.</w:t>
      </w:r>
    </w:p>
    <w:p w:rsidR="00A0766F" w:rsidRPr="00106570" w:rsidRDefault="00A0766F" w:rsidP="0087093D">
      <w:pPr>
        <w:rPr>
          <w:sz w:val="22"/>
          <w:szCs w:val="22"/>
        </w:rPr>
      </w:pPr>
      <w:r w:rsidRPr="00106570">
        <w:rPr>
          <w:sz w:val="22"/>
          <w:szCs w:val="22"/>
        </w:rPr>
        <w:t xml:space="preserve"> </w:t>
      </w:r>
    </w:p>
    <w:p w:rsidR="00946E73" w:rsidRPr="00A0766F" w:rsidRDefault="00946E7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24"/>
      </w:tblGrid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625" w:type="dxa"/>
          </w:tcPr>
          <w:p w:rsidR="00A0766F" w:rsidRPr="00473C94" w:rsidRDefault="0035218C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Residential Counsellor, Night</w:t>
            </w:r>
            <w:r w:rsidR="005D52A9">
              <w:rPr>
                <w:b/>
                <w:bCs/>
                <w:sz w:val="22"/>
                <w:szCs w:val="22"/>
                <w:lang w:val="en-CA"/>
              </w:rPr>
              <w:t xml:space="preserve"> (2 positions)</w:t>
            </w:r>
            <w:bookmarkStart w:id="0" w:name="_GoBack"/>
            <w:bookmarkEnd w:id="0"/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625" w:type="dxa"/>
          </w:tcPr>
          <w:p w:rsidR="001D0956" w:rsidRPr="00EC448E" w:rsidRDefault="00B12B33" w:rsidP="001D095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Permanent</w:t>
            </w:r>
            <w:r w:rsidR="00BA3FE1">
              <w:rPr>
                <w:bCs/>
                <w:sz w:val="22"/>
                <w:szCs w:val="22"/>
              </w:rPr>
              <w:t xml:space="preserve"> Full-time (</w:t>
            </w:r>
            <w:r w:rsidR="00A52AEF">
              <w:rPr>
                <w:bCs/>
                <w:sz w:val="22"/>
                <w:szCs w:val="22"/>
              </w:rPr>
              <w:t>63 hours/2 weeks</w:t>
            </w:r>
            <w:r w:rsidR="00BA3FE1">
              <w:rPr>
                <w:bCs/>
                <w:sz w:val="22"/>
                <w:szCs w:val="22"/>
              </w:rPr>
              <w:t>)</w:t>
            </w:r>
          </w:p>
          <w:p w:rsidR="00A0766F" w:rsidRPr="005C434B" w:rsidRDefault="00A0766F" w:rsidP="00D66A2C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 of Pay:</w:t>
            </w:r>
          </w:p>
        </w:tc>
        <w:tc>
          <w:tcPr>
            <w:tcW w:w="7625" w:type="dxa"/>
          </w:tcPr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  <w:r w:rsidRPr="005E19BD">
              <w:rPr>
                <w:bCs/>
                <w:sz w:val="22"/>
                <w:szCs w:val="22"/>
              </w:rPr>
              <w:t>$</w:t>
            </w:r>
            <w:r w:rsidR="00A52AEF">
              <w:rPr>
                <w:bCs/>
                <w:sz w:val="22"/>
                <w:szCs w:val="22"/>
              </w:rPr>
              <w:t>32,405.72</w:t>
            </w:r>
            <w:r w:rsidR="00AD2C81">
              <w:rPr>
                <w:bCs/>
                <w:sz w:val="22"/>
                <w:szCs w:val="22"/>
              </w:rPr>
              <w:t xml:space="preserve"> per annum</w:t>
            </w:r>
          </w:p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Pr="00EC448E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448E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625" w:type="dxa"/>
          </w:tcPr>
          <w:p w:rsidR="00A0766F" w:rsidRPr="00473C94" w:rsidRDefault="00AD2C81" w:rsidP="00D66A2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625" w:type="dxa"/>
          </w:tcPr>
          <w:p w:rsidR="00A0766F" w:rsidRPr="00473C94" w:rsidRDefault="00EB30B3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  <w:r w:rsidR="00AD2C81">
              <w:rPr>
                <w:sz w:val="22"/>
                <w:szCs w:val="22"/>
              </w:rPr>
              <w:t xml:space="preserve">, </w:t>
            </w:r>
            <w:r w:rsidR="00784B6B">
              <w:rPr>
                <w:sz w:val="22"/>
                <w:szCs w:val="22"/>
              </w:rPr>
              <w:t xml:space="preserve">Integrated </w:t>
            </w:r>
            <w:r w:rsidR="00AD2C81">
              <w:rPr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RPr="00BE58DA" w:rsidTr="0035218C">
        <w:trPr>
          <w:trHeight w:val="426"/>
        </w:trPr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625" w:type="dxa"/>
          </w:tcPr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Child and Youth Worker Diploma or related Bachelor’s degree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Current Standard First Aid, CPR and CPI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At least three (3) years related experience.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General knowledge of the developmental needs of infants, children and youth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Excellent interpersonal and conflict resolution skills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Ability to work as part of team as well as independently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 xml:space="preserve">Good communication skills 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Ability to write and document clearly and concisely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Ability to work using a collaborative approach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Knowledge of the Child and Family Services Act Legislation in residential settings.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Knowledge of group dynamics and behavior management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Awareness and experience of cultural diversity</w:t>
            </w:r>
          </w:p>
          <w:p w:rsidR="0035218C" w:rsidRDefault="0035218C" w:rsidP="003521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Proficient with word processing, data collection systems and email software.</w:t>
            </w:r>
          </w:p>
          <w:p w:rsidR="00EB30B3" w:rsidRDefault="00EB30B3" w:rsidP="00EB30B3">
            <w:pPr>
              <w:rPr>
                <w:sz w:val="22"/>
                <w:szCs w:val="22"/>
              </w:rPr>
            </w:pPr>
          </w:p>
          <w:p w:rsidR="00EB30B3" w:rsidRDefault="00EB30B3" w:rsidP="00EB30B3">
            <w:pPr>
              <w:rPr>
                <w:sz w:val="22"/>
                <w:szCs w:val="22"/>
              </w:rPr>
            </w:pPr>
          </w:p>
          <w:p w:rsidR="00EB30B3" w:rsidRPr="00EB30B3" w:rsidRDefault="00EB30B3" w:rsidP="00EB30B3">
            <w:pPr>
              <w:rPr>
                <w:sz w:val="22"/>
                <w:szCs w:val="22"/>
              </w:rPr>
            </w:pPr>
          </w:p>
          <w:p w:rsidR="00A0766F" w:rsidRPr="002D4140" w:rsidRDefault="00A0766F" w:rsidP="00EB30B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D2C81" w:rsidRPr="00BE58DA" w:rsidTr="00BE58DA">
        <w:tc>
          <w:tcPr>
            <w:tcW w:w="1951" w:type="dxa"/>
          </w:tcPr>
          <w:p w:rsidR="00AD2C81" w:rsidRDefault="00AD2C81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58DA">
              <w:rPr>
                <w:b/>
                <w:bCs/>
                <w:sz w:val="22"/>
                <w:szCs w:val="22"/>
                <w:lang w:val="en-CA"/>
              </w:rPr>
              <w:lastRenderedPageBreak/>
              <w:t>Working Condition:</w:t>
            </w:r>
          </w:p>
        </w:tc>
        <w:tc>
          <w:tcPr>
            <w:tcW w:w="7625" w:type="dxa"/>
          </w:tcPr>
          <w:p w:rsidR="0035218C" w:rsidRPr="0035218C" w:rsidRDefault="0035218C" w:rsidP="003521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 xml:space="preserve">Shift work – night </w:t>
            </w:r>
          </w:p>
          <w:p w:rsidR="0035218C" w:rsidRPr="0035218C" w:rsidRDefault="0035218C" w:rsidP="003521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218C">
              <w:rPr>
                <w:sz w:val="22"/>
                <w:szCs w:val="22"/>
              </w:rPr>
              <w:t>Physical demands – lifting, walking, climbing stairways, bending, carrying items as required by program needs (e.g., lifting</w:t>
            </w:r>
            <w:r w:rsidRPr="0035218C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35218C">
              <w:rPr>
                <w:sz w:val="22"/>
                <w:szCs w:val="22"/>
                <w:lang w:val="en-CA"/>
              </w:rPr>
              <w:t>a child under in the care of the program).</w:t>
            </w:r>
            <w:r w:rsidRPr="0035218C">
              <w:rPr>
                <w:sz w:val="22"/>
                <w:szCs w:val="22"/>
              </w:rPr>
              <w:t xml:space="preserve"> </w:t>
            </w:r>
          </w:p>
          <w:p w:rsidR="00AD2C81" w:rsidRDefault="00AD2C81" w:rsidP="0035218C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5218C" w:rsidRPr="0035218C" w:rsidRDefault="0035218C" w:rsidP="0035218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625" w:type="dxa"/>
          </w:tcPr>
          <w:p w:rsidR="00A0766F" w:rsidRPr="00BA3FE1" w:rsidRDefault="005D52A9" w:rsidP="005D52A9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January 29</w:t>
            </w:r>
            <w:r w:rsidR="00EB30B3">
              <w:rPr>
                <w:b/>
                <w:bCs/>
                <w:sz w:val="22"/>
                <w:szCs w:val="22"/>
                <w:u w:val="single"/>
              </w:rPr>
              <w:t>, 20</w:t>
            </w:r>
            <w:r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A0766F" w:rsidRPr="00BA3FE1">
              <w:rPr>
                <w:b/>
                <w:bCs/>
                <w:sz w:val="22"/>
                <w:szCs w:val="22"/>
                <w:u w:val="single"/>
              </w:rPr>
              <w:t>; 5:00 p.m.</w:t>
            </w:r>
          </w:p>
        </w:tc>
      </w:tr>
      <w:tr w:rsidR="00005DD0" w:rsidTr="00005DD0">
        <w:tc>
          <w:tcPr>
            <w:tcW w:w="1951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5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4C72D6" w:rsidTr="00005DD0">
        <w:tc>
          <w:tcPr>
            <w:tcW w:w="1951" w:type="dxa"/>
          </w:tcPr>
          <w:p w:rsidR="004C72D6" w:rsidRDefault="004C72D6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5" w:type="dxa"/>
          </w:tcPr>
          <w:p w:rsidR="004C72D6" w:rsidRDefault="004C72D6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4C72D6" w:rsidRDefault="004C72D6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856B3E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856B3E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250EF6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the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250EF6">
        <w:rPr>
          <w:rFonts w:eastAsiaTheme="minorHAnsi"/>
          <w:bCs/>
          <w:sz w:val="22"/>
          <w:szCs w:val="22"/>
          <w:lang w:val="en-CA"/>
        </w:rPr>
        <w:t>and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ED5152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>
        <w:rPr>
          <w:rFonts w:eastAsiaTheme="minorHAnsi"/>
          <w:bCs/>
          <w:sz w:val="22"/>
          <w:szCs w:val="22"/>
          <w:lang w:val="en-CA"/>
        </w:rPr>
        <w:t>Please make you</w:t>
      </w:r>
      <w:r w:rsidR="0019055B">
        <w:rPr>
          <w:rFonts w:eastAsiaTheme="minorHAnsi"/>
          <w:bCs/>
          <w:sz w:val="22"/>
          <w:szCs w:val="22"/>
          <w:lang w:val="en-CA"/>
        </w:rPr>
        <w:t>r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4343EC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Massey Centre encourages application</w:t>
      </w:r>
      <w:r w:rsidR="00ED5152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4343EC">
        <w:rPr>
          <w:rFonts w:eastAsiaTheme="minorHAnsi"/>
          <w:bCs/>
          <w:sz w:val="22"/>
          <w:szCs w:val="22"/>
          <w:lang w:val="en-CA"/>
        </w:rPr>
        <w:t>son</w:t>
      </w:r>
      <w:r w:rsidR="004343EC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who represent the diverse populations we serve.</w:t>
      </w:r>
    </w:p>
    <w:p w:rsidR="00250EF6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Qualified applicants should send their cover letter and resume by the closing date to: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softHyphen/>
        <w:t>Human Resources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OR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7" w:history="1">
        <w:r w:rsidRPr="00A0766F">
          <w:rPr>
            <w:rStyle w:val="Hyperlink"/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 (please quote "</w:t>
      </w:r>
      <w:r w:rsidR="0035218C">
        <w:rPr>
          <w:rFonts w:eastAsiaTheme="minorHAnsi"/>
          <w:b/>
          <w:bCs/>
          <w:sz w:val="22"/>
          <w:szCs w:val="22"/>
        </w:rPr>
        <w:t>Residential Counsellor, Night</w:t>
      </w:r>
      <w:r w:rsidRPr="00A0766F">
        <w:rPr>
          <w:rFonts w:eastAsiaTheme="minorHAnsi"/>
          <w:b/>
          <w:bCs/>
          <w:sz w:val="22"/>
          <w:szCs w:val="22"/>
          <w:lang w:val="en-CA"/>
        </w:rPr>
        <w:t>" in the subject line)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u w:val="single"/>
        </w:rPr>
      </w:pPr>
    </w:p>
    <w:p w:rsidR="00946E73" w:rsidRPr="004343EC" w:rsidRDefault="00A0766F" w:rsidP="0087093D">
      <w:pPr>
        <w:jc w:val="center"/>
        <w:rPr>
          <w:rFonts w:eastAsiaTheme="minorHAnsi"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i/>
          <w:sz w:val="22"/>
          <w:szCs w:val="22"/>
          <w:lang w:val="en-CA"/>
        </w:rPr>
        <w:t>We thank all applicants, however, only those we select for interview will be contacted.</w:t>
      </w:r>
    </w:p>
    <w:sectPr w:rsidR="00946E73" w:rsidRPr="004343EC" w:rsidSect="0087093D">
      <w:headerReference w:type="default" r:id="rId8"/>
      <w:footerReference w:type="default" r:id="rId9"/>
      <w:pgSz w:w="12240" w:h="15840" w:code="1"/>
      <w:pgMar w:top="2835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56" w:rsidRDefault="001D0956" w:rsidP="00005DD0">
      <w:r>
        <w:separator/>
      </w:r>
    </w:p>
  </w:endnote>
  <w:endnote w:type="continuationSeparator" w:id="0">
    <w:p w:rsidR="001D0956" w:rsidRDefault="001D0956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Pr="00005DD0" w:rsidRDefault="001D0956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5D52A9">
      <w:rPr>
        <w:b/>
        <w:lang w:eastAsia="en-CA"/>
      </w:rPr>
      <w:t>January 16</w:t>
    </w:r>
    <w:r w:rsidR="00EE3AD0">
      <w:rPr>
        <w:b/>
        <w:lang w:eastAsia="en-CA"/>
      </w:rPr>
      <w:t>, 20</w:t>
    </w:r>
    <w:r w:rsidR="005D52A9">
      <w:rPr>
        <w:b/>
        <w:lang w:eastAsia="en-CA"/>
      </w:rPr>
      <w:t>20</w:t>
    </w:r>
  </w:p>
  <w:p w:rsidR="001D0956" w:rsidRDefault="001D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56" w:rsidRDefault="001D0956" w:rsidP="00005DD0">
      <w:r>
        <w:separator/>
      </w:r>
    </w:p>
  </w:footnote>
  <w:footnote w:type="continuationSeparator" w:id="0">
    <w:p w:rsidR="001D0956" w:rsidRDefault="001D0956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Default="001D0956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0E6E2" wp14:editId="28563456">
              <wp:simplePos x="0" y="0"/>
              <wp:positionH relativeFrom="column">
                <wp:posOffset>2019300</wp:posOffset>
              </wp:positionH>
              <wp:positionV relativeFrom="paragraph">
                <wp:posOffset>73660</wp:posOffset>
              </wp:positionV>
              <wp:extent cx="3672840" cy="923925"/>
              <wp:effectExtent l="0" t="0" r="2286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956" w:rsidRPr="00005DD0" w:rsidRDefault="001D0956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>Internal</w:t>
                          </w:r>
                          <w:r w:rsidR="00EB30B3">
                            <w:rPr>
                              <w:smallCaps/>
                              <w:sz w:val="32"/>
                              <w:szCs w:val="32"/>
                            </w:rPr>
                            <w:t xml:space="preserve"> / External </w:t>
                          </w:r>
                          <w:r w:rsidRPr="00005DD0">
                            <w:rPr>
                              <w:smallCaps/>
                              <w:sz w:val="32"/>
                              <w:szCs w:val="32"/>
                            </w:rPr>
                            <w:t>Job Posting</w:t>
                          </w:r>
                        </w:p>
                        <w:p w:rsidR="009B04E1" w:rsidRDefault="0035218C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Residential Counsellor, Night</w:t>
                          </w:r>
                        </w:p>
                        <w:p w:rsidR="001D0956" w:rsidRPr="00005DD0" w:rsidRDefault="00177E1E" w:rsidP="00005DD0">
                          <w:pPr>
                            <w:pStyle w:val="Title"/>
                            <w:widowControl w:val="0"/>
                            <w:spacing w:line="360" w:lineRule="auto"/>
                          </w:pPr>
                          <w:r>
                            <w:rPr>
                              <w:bCs w:val="0"/>
                            </w:rPr>
                            <w:t xml:space="preserve">Full time </w:t>
                          </w:r>
                          <w:r w:rsidR="001D0956" w:rsidRPr="00005DD0">
                            <w:rPr>
                              <w:bCs w:val="0"/>
                            </w:rPr>
                            <w:t>Bargaining Unit 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0E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5.8pt;width:289.2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4sIgIAAFA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" strokecolor="white">
              <v:textbox>
                <w:txbxContent>
                  <w:p w:rsidR="001D0956" w:rsidRPr="00005DD0" w:rsidRDefault="001D0956" w:rsidP="00005DD0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>Internal</w:t>
                    </w:r>
                    <w:r w:rsidR="00EB30B3">
                      <w:rPr>
                        <w:smallCaps/>
                        <w:sz w:val="32"/>
                        <w:szCs w:val="32"/>
                      </w:rPr>
                      <w:t xml:space="preserve"> / External </w:t>
                    </w:r>
                    <w:r w:rsidRPr="00005DD0">
                      <w:rPr>
                        <w:smallCaps/>
                        <w:sz w:val="32"/>
                        <w:szCs w:val="32"/>
                      </w:rPr>
                      <w:t>Job Posting</w:t>
                    </w:r>
                  </w:p>
                  <w:p w:rsidR="009B04E1" w:rsidRDefault="0035218C" w:rsidP="00005DD0">
                    <w:pPr>
                      <w:pStyle w:val="Title"/>
                      <w:widowControl w:val="0"/>
                      <w:spacing w:line="360" w:lineRule="auto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Residential Counsellor, Night</w:t>
                    </w:r>
                  </w:p>
                  <w:p w:rsidR="001D0956" w:rsidRPr="00005DD0" w:rsidRDefault="00177E1E" w:rsidP="00005DD0">
                    <w:pPr>
                      <w:pStyle w:val="Title"/>
                      <w:widowControl w:val="0"/>
                      <w:spacing w:line="360" w:lineRule="auto"/>
                    </w:pPr>
                    <w:r>
                      <w:rPr>
                        <w:bCs w:val="0"/>
                      </w:rPr>
                      <w:t xml:space="preserve">Full time </w:t>
                    </w:r>
                    <w:r w:rsidR="001D0956" w:rsidRPr="00005DD0">
                      <w:rPr>
                        <w:bCs w:val="0"/>
                      </w:rPr>
                      <w:t>Bargaining Unit 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227E9E" wp14:editId="5C602FCA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51"/>
    <w:multiLevelType w:val="hybridMultilevel"/>
    <w:tmpl w:val="F2DEB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5E0B"/>
    <w:multiLevelType w:val="hybridMultilevel"/>
    <w:tmpl w:val="1250D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134C1"/>
    <w:multiLevelType w:val="hybridMultilevel"/>
    <w:tmpl w:val="27007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A039F"/>
    <w:multiLevelType w:val="hybridMultilevel"/>
    <w:tmpl w:val="29A27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06660"/>
    <w:multiLevelType w:val="hybridMultilevel"/>
    <w:tmpl w:val="83FE48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B10A9"/>
    <w:multiLevelType w:val="hybridMultilevel"/>
    <w:tmpl w:val="B078782C"/>
    <w:lvl w:ilvl="0" w:tplc="0409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5F4D5D0D"/>
    <w:multiLevelType w:val="hybridMultilevel"/>
    <w:tmpl w:val="1ADCE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33E4C"/>
    <w:multiLevelType w:val="hybridMultilevel"/>
    <w:tmpl w:val="21E6DA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32A84"/>
    <w:multiLevelType w:val="hybridMultilevel"/>
    <w:tmpl w:val="E70EB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312"/>
    <w:multiLevelType w:val="hybridMultilevel"/>
    <w:tmpl w:val="99306D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A10C2"/>
    <w:rsid w:val="000D6729"/>
    <w:rsid w:val="00106570"/>
    <w:rsid w:val="001579B4"/>
    <w:rsid w:val="00177E1E"/>
    <w:rsid w:val="0019055B"/>
    <w:rsid w:val="001A2F4F"/>
    <w:rsid w:val="001C60E6"/>
    <w:rsid w:val="001D0956"/>
    <w:rsid w:val="001F3C7D"/>
    <w:rsid w:val="00243186"/>
    <w:rsid w:val="00250EF6"/>
    <w:rsid w:val="002958F3"/>
    <w:rsid w:val="002B5E6C"/>
    <w:rsid w:val="0035218C"/>
    <w:rsid w:val="0037482C"/>
    <w:rsid w:val="003C1AA4"/>
    <w:rsid w:val="00425350"/>
    <w:rsid w:val="004343EC"/>
    <w:rsid w:val="004A6C31"/>
    <w:rsid w:val="004C72D6"/>
    <w:rsid w:val="00581DE0"/>
    <w:rsid w:val="005C434B"/>
    <w:rsid w:val="005D52A9"/>
    <w:rsid w:val="005E19BD"/>
    <w:rsid w:val="005E6A63"/>
    <w:rsid w:val="0068727B"/>
    <w:rsid w:val="006B6C5C"/>
    <w:rsid w:val="0076036F"/>
    <w:rsid w:val="00784B6B"/>
    <w:rsid w:val="007D79CF"/>
    <w:rsid w:val="00813B6D"/>
    <w:rsid w:val="00836416"/>
    <w:rsid w:val="00856B3E"/>
    <w:rsid w:val="0087093D"/>
    <w:rsid w:val="0089431E"/>
    <w:rsid w:val="008E14FF"/>
    <w:rsid w:val="00915ACE"/>
    <w:rsid w:val="00932AAA"/>
    <w:rsid w:val="00946E73"/>
    <w:rsid w:val="009A185F"/>
    <w:rsid w:val="009B04E1"/>
    <w:rsid w:val="009D024B"/>
    <w:rsid w:val="009E232D"/>
    <w:rsid w:val="00A0766F"/>
    <w:rsid w:val="00A52AEF"/>
    <w:rsid w:val="00AD2C81"/>
    <w:rsid w:val="00AF081A"/>
    <w:rsid w:val="00B12B33"/>
    <w:rsid w:val="00B21988"/>
    <w:rsid w:val="00BA3FE1"/>
    <w:rsid w:val="00BE58DA"/>
    <w:rsid w:val="00C47591"/>
    <w:rsid w:val="00CA5881"/>
    <w:rsid w:val="00CC4996"/>
    <w:rsid w:val="00D32F85"/>
    <w:rsid w:val="00D66A2C"/>
    <w:rsid w:val="00E4169E"/>
    <w:rsid w:val="00EB30B3"/>
    <w:rsid w:val="00EC2817"/>
    <w:rsid w:val="00EC448E"/>
    <w:rsid w:val="00ED5152"/>
    <w:rsid w:val="00EE3AD0"/>
    <w:rsid w:val="00F32DAF"/>
    <w:rsid w:val="00F9613D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669611"/>
  <w15:docId w15:val="{2E2F7718-B080-48D6-9BE6-F9C735C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ss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4</cp:revision>
  <cp:lastPrinted>2018-04-09T17:18:00Z</cp:lastPrinted>
  <dcterms:created xsi:type="dcterms:W3CDTF">2019-11-08T20:23:00Z</dcterms:created>
  <dcterms:modified xsi:type="dcterms:W3CDTF">2020-01-16T15:35:00Z</dcterms:modified>
</cp:coreProperties>
</file>